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DFB2" w14:textId="4A993719" w:rsidR="004D5E8A" w:rsidRPr="004D5E8A" w:rsidRDefault="00BB5FEB" w:rsidP="004D5E8A">
      <w:pPr>
        <w:jc w:val="center"/>
        <w:rPr>
          <w:b/>
          <w:bCs/>
          <w:sz w:val="32"/>
          <w:szCs w:val="32"/>
        </w:rPr>
      </w:pPr>
      <w:bookmarkStart w:id="0" w:name="_Hlk47624769"/>
      <w:r w:rsidRPr="004D5E8A">
        <w:rPr>
          <w:b/>
          <w:bCs/>
          <w:sz w:val="32"/>
          <w:szCs w:val="32"/>
        </w:rPr>
        <w:t>JACOB R. LEDERLE</w:t>
      </w:r>
    </w:p>
    <w:p w14:paraId="4713F1CD" w14:textId="3CAE51D4" w:rsidR="004D5E8A" w:rsidRPr="004D5E8A" w:rsidRDefault="004D5E8A" w:rsidP="0017371C">
      <w:pPr>
        <w:jc w:val="center"/>
        <w:rPr>
          <w:smallCaps/>
        </w:rPr>
      </w:pPr>
      <w:r w:rsidRPr="004D5E8A">
        <w:rPr>
          <w:smallCaps/>
        </w:rPr>
        <w:t>Wetsel, Allen, &amp; Lederle, L.L.P.,</w:t>
      </w:r>
    </w:p>
    <w:p w14:paraId="08146B9A" w14:textId="4FD46585" w:rsidR="004D5E8A" w:rsidRPr="004D5E8A" w:rsidRDefault="004D5E8A" w:rsidP="0017371C">
      <w:pPr>
        <w:jc w:val="center"/>
      </w:pPr>
      <w:r w:rsidRPr="004D5E8A">
        <w:t>Attorneys &amp; Counselors at Law</w:t>
      </w:r>
    </w:p>
    <w:p w14:paraId="29B53414" w14:textId="49AE3079" w:rsidR="004D5E8A" w:rsidRDefault="004D5E8A" w:rsidP="0017371C">
      <w:pPr>
        <w:jc w:val="center"/>
      </w:pPr>
      <w:r w:rsidRPr="004D5E8A">
        <w:t xml:space="preserve">Sweetwater &amp; Lubbock </w:t>
      </w:r>
    </w:p>
    <w:p w14:paraId="592109B5" w14:textId="66BB2B40" w:rsidR="004D5E8A" w:rsidRDefault="00000000" w:rsidP="0017371C">
      <w:pPr>
        <w:jc w:val="center"/>
      </w:pPr>
      <w:hyperlink r:id="rId5" w:history="1">
        <w:r w:rsidR="004D5E8A" w:rsidRPr="00B114FD">
          <w:rPr>
            <w:rStyle w:val="Hyperlink"/>
          </w:rPr>
          <w:t>www.wal.law</w:t>
        </w:r>
      </w:hyperlink>
      <w:r w:rsidR="004D5E8A">
        <w:t xml:space="preserve"> </w:t>
      </w:r>
    </w:p>
    <w:p w14:paraId="00E5E528" w14:textId="77777777" w:rsidR="004D5E8A" w:rsidRDefault="004D5E8A" w:rsidP="0017371C">
      <w:pPr>
        <w:jc w:val="center"/>
      </w:pP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505"/>
      </w:tblGrid>
      <w:tr w:rsidR="004D5E8A" w14:paraId="23603DD3" w14:textId="77777777" w:rsidTr="00B8244C">
        <w:tc>
          <w:tcPr>
            <w:tcW w:w="4945" w:type="dxa"/>
          </w:tcPr>
          <w:p w14:paraId="7BED1612" w14:textId="77777777" w:rsidR="004D5E8A" w:rsidRPr="00EA6D52" w:rsidRDefault="004D5E8A" w:rsidP="004D5E8A">
            <w:r w:rsidRPr="00EA6D52">
              <w:t>207 Oak St., Sweetwater, Texas, 79556</w:t>
            </w:r>
          </w:p>
          <w:p w14:paraId="14FF4F3E" w14:textId="458C96E8" w:rsidR="004D5E8A" w:rsidRDefault="004D5E8A" w:rsidP="004D5E8A">
            <w:r w:rsidRPr="00EA6D52">
              <w:t>325-235-3999 (</w:t>
            </w:r>
            <w:r>
              <w:t xml:space="preserve">Sweetwater </w:t>
            </w:r>
            <w:r w:rsidRPr="00EA6D52">
              <w:t>Office)</w:t>
            </w:r>
          </w:p>
        </w:tc>
        <w:tc>
          <w:tcPr>
            <w:tcW w:w="4505" w:type="dxa"/>
          </w:tcPr>
          <w:p w14:paraId="0B171C37" w14:textId="50628DCD" w:rsidR="004D5E8A" w:rsidRDefault="004D5E8A" w:rsidP="004D5E8A">
            <w:pPr>
              <w:jc w:val="both"/>
            </w:pPr>
            <w:r>
              <w:t xml:space="preserve">   2305 Broadway St., Lubbock, Texas 79401</w:t>
            </w:r>
          </w:p>
          <w:p w14:paraId="218FC408" w14:textId="0220F611" w:rsidR="004D5E8A" w:rsidRDefault="004D5E8A" w:rsidP="004D5E8A">
            <w:pPr>
              <w:jc w:val="both"/>
            </w:pPr>
            <w:r>
              <w:t xml:space="preserve">   806-368-9405 (Lubbock Office)</w:t>
            </w:r>
          </w:p>
        </w:tc>
      </w:tr>
    </w:tbl>
    <w:p w14:paraId="43782711" w14:textId="61E31E92" w:rsidR="004D5E8A" w:rsidRDefault="004D5E8A" w:rsidP="0017371C">
      <w:pPr>
        <w:pBdr>
          <w:bottom w:val="single" w:sz="12" w:space="1" w:color="auto"/>
        </w:pBdr>
        <w:jc w:val="center"/>
      </w:pPr>
    </w:p>
    <w:p w14:paraId="235A7FBC" w14:textId="77777777" w:rsidR="004D5E8A" w:rsidRDefault="004D5E8A" w:rsidP="004D5E8A">
      <w:pPr>
        <w:jc w:val="center"/>
      </w:pPr>
    </w:p>
    <w:p w14:paraId="15D47A44" w14:textId="5F85408C" w:rsidR="004D5E8A" w:rsidRDefault="004D5E8A" w:rsidP="004D5E8A">
      <w:pPr>
        <w:jc w:val="both"/>
        <w:rPr>
          <w:color w:val="000000" w:themeColor="text1"/>
        </w:rPr>
      </w:pPr>
      <w:r w:rsidRPr="00E84A95">
        <w:rPr>
          <w:color w:val="000000" w:themeColor="text1"/>
        </w:rPr>
        <w:t>Jake Lederle is a partner with Wetsel, Allen, &amp; Lederle, LLP with offices in Sweetwater and Lubbock, Texas. Jake specializes in renewable energy development representing clients throughout Texas in all aspects of renewable energy project development, including, without limitation,</w:t>
      </w:r>
      <w:r>
        <w:rPr>
          <w:color w:val="000000" w:themeColor="text1"/>
        </w:rPr>
        <w:t xml:space="preserve"> wind, solar, green hydrogen, carbon capture, battery storage,</w:t>
      </w:r>
      <w:r w:rsidRPr="00E84A95">
        <w:rPr>
          <w:color w:val="000000" w:themeColor="text1"/>
        </w:rPr>
        <w:t xml:space="preserve"> lease drafting and negotiation, land acquisition, and litigation. Due to his vast experience Jake is </w:t>
      </w:r>
      <w:r>
        <w:rPr>
          <w:color w:val="000000" w:themeColor="text1"/>
        </w:rPr>
        <w:t xml:space="preserve">also </w:t>
      </w:r>
      <w:r w:rsidRPr="00E84A95">
        <w:rPr>
          <w:color w:val="000000" w:themeColor="text1"/>
        </w:rPr>
        <w:t>frequently called upon to advise and consult on matters of renewable energy project development across the U.S. In addition to his renewable energy practice, Jake also maintains a robust eminent domain and condemnation practice, as well as assisting clients in matters related to</w:t>
      </w:r>
      <w:r w:rsidRPr="0037306E">
        <w:rPr>
          <w:color w:val="000000" w:themeColor="text1"/>
        </w:rPr>
        <w:t xml:space="preserve"> </w:t>
      </w:r>
      <w:r w:rsidRPr="00E84A95">
        <w:rPr>
          <w:color w:val="000000" w:themeColor="text1"/>
        </w:rPr>
        <w:t>tax abatements, environmental matters, oil &amp; gas matters, and general real estate.</w:t>
      </w:r>
    </w:p>
    <w:p w14:paraId="30749E61" w14:textId="77777777" w:rsidR="00C20565" w:rsidRDefault="00C20565" w:rsidP="004D5E8A">
      <w:pPr>
        <w:jc w:val="both"/>
        <w:rPr>
          <w:color w:val="000000" w:themeColor="text1"/>
        </w:rPr>
      </w:pPr>
    </w:p>
    <w:p w14:paraId="0810B6CA" w14:textId="66A00FB5" w:rsidR="00C20565" w:rsidRDefault="00C20565" w:rsidP="004D5E8A">
      <w:pPr>
        <w:jc w:val="both"/>
        <w:rPr>
          <w:b/>
          <w:bCs/>
          <w:color w:val="000000" w:themeColor="text1"/>
        </w:rPr>
      </w:pPr>
      <w:r w:rsidRPr="00C20565">
        <w:rPr>
          <w:b/>
          <w:bCs/>
          <w:color w:val="000000" w:themeColor="text1"/>
        </w:rPr>
        <w:t>PUBLICATIONS</w:t>
      </w:r>
    </w:p>
    <w:p w14:paraId="5A5D525C" w14:textId="77777777" w:rsidR="00C20565" w:rsidRDefault="00C20565" w:rsidP="004D5E8A">
      <w:pPr>
        <w:jc w:val="both"/>
        <w:rPr>
          <w:b/>
          <w:bCs/>
          <w:color w:val="000000" w:themeColor="text1"/>
        </w:rPr>
      </w:pPr>
    </w:p>
    <w:p w14:paraId="7088C0B4" w14:textId="064AFEB4" w:rsidR="00C20565" w:rsidRDefault="00C20565" w:rsidP="00C2056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20565">
        <w:rPr>
          <w:i/>
          <w:iCs/>
          <w:color w:val="000000" w:themeColor="text1"/>
        </w:rPr>
        <w:t>To Sever, or Not to Sever, That is the Question; Wind Rights in Texas</w:t>
      </w:r>
      <w:r w:rsidRPr="00C20565">
        <w:rPr>
          <w:color w:val="000000" w:themeColor="text1"/>
        </w:rPr>
        <w:t>, Journal of the Energy Law Practitioner, Vol. 1, Issue 1 July 2022.</w:t>
      </w:r>
    </w:p>
    <w:p w14:paraId="2C56415A" w14:textId="77777777" w:rsidR="00C20565" w:rsidRPr="00C20565" w:rsidRDefault="00C20565" w:rsidP="00C20565">
      <w:pPr>
        <w:pStyle w:val="ListParagraph"/>
        <w:jc w:val="both"/>
        <w:rPr>
          <w:color w:val="000000" w:themeColor="text1"/>
        </w:rPr>
      </w:pPr>
    </w:p>
    <w:p w14:paraId="23B1C563" w14:textId="77777777" w:rsidR="00C20565" w:rsidRDefault="00C20565" w:rsidP="00C2056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A Primer on Condemnation Procedure in Texas</w:t>
      </w:r>
      <w:r w:rsidRPr="00C2056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State Bar of Texas, </w:t>
      </w:r>
      <w:r w:rsidRPr="00C20565">
        <w:rPr>
          <w:color w:val="000000" w:themeColor="text1"/>
        </w:rPr>
        <w:t>23</w:t>
      </w:r>
      <w:r w:rsidRPr="00C20565">
        <w:rPr>
          <w:color w:val="000000" w:themeColor="text1"/>
          <w:vertAlign w:val="superscript"/>
        </w:rPr>
        <w:t>rd</w:t>
      </w:r>
      <w:r w:rsidRPr="00C20565">
        <w:rPr>
          <w:color w:val="000000" w:themeColor="text1"/>
        </w:rPr>
        <w:t xml:space="preserve"> Annual Summer School Course: Sun, Sand, and CLE for the General Practitioner, July 15, 2021.</w:t>
      </w:r>
    </w:p>
    <w:p w14:paraId="75EE2FB8" w14:textId="77777777" w:rsidR="00C20565" w:rsidRDefault="00C20565" w:rsidP="00C20565">
      <w:pPr>
        <w:pStyle w:val="ListParagraph"/>
      </w:pPr>
    </w:p>
    <w:p w14:paraId="19564296" w14:textId="12969E31" w:rsidR="00C20565" w:rsidRPr="00B8244C" w:rsidRDefault="00C20565" w:rsidP="00C2056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20565">
        <w:rPr>
          <w:i/>
          <w:iCs/>
        </w:rPr>
        <w:t>Negotiating &amp; Drafting a Pipeline Easement</w:t>
      </w:r>
      <w:r>
        <w:t>, State Bar of Texas 30th Annual Advanced Real Estate Drafting, March 14-15, 2019.</w:t>
      </w:r>
    </w:p>
    <w:p w14:paraId="200CFF54" w14:textId="77777777" w:rsidR="00B8244C" w:rsidRPr="00B8244C" w:rsidRDefault="00B8244C" w:rsidP="00B8244C">
      <w:pPr>
        <w:pStyle w:val="ListParagraph"/>
        <w:rPr>
          <w:color w:val="000000" w:themeColor="text1"/>
        </w:rPr>
      </w:pPr>
    </w:p>
    <w:p w14:paraId="6D7E443E" w14:textId="0C76BA25" w:rsidR="00B8244C" w:rsidRPr="00C20565" w:rsidRDefault="00B8244C" w:rsidP="00C2056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B8244C">
        <w:rPr>
          <w:i/>
          <w:iCs/>
          <w:color w:val="000000" w:themeColor="text1"/>
        </w:rPr>
        <w:t>A Place in the Sun: Solar Leases in Texas</w:t>
      </w:r>
      <w:r>
        <w:rPr>
          <w:color w:val="000000" w:themeColor="text1"/>
        </w:rPr>
        <w:t>, State Bar of Texas, 12</w:t>
      </w:r>
      <w:r w:rsidRPr="00B8244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Annual John Huffaker Course in Agriculture Law, May 24-25, 2018.</w:t>
      </w:r>
    </w:p>
    <w:p w14:paraId="5A5A1287" w14:textId="77777777" w:rsidR="00B8244C" w:rsidRDefault="00B8244C" w:rsidP="00B8244C">
      <w:pPr>
        <w:pStyle w:val="ListParagraph"/>
        <w:jc w:val="both"/>
        <w:rPr>
          <w:color w:val="000000" w:themeColor="text1"/>
        </w:rPr>
      </w:pPr>
    </w:p>
    <w:p w14:paraId="536543B4" w14:textId="4057B14E" w:rsidR="00C20565" w:rsidRDefault="00B8244C" w:rsidP="00C2056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B8244C">
        <w:rPr>
          <w:i/>
          <w:iCs/>
          <w:color w:val="000000" w:themeColor="text1"/>
        </w:rPr>
        <w:t>Anatomy of a Solar Lease: The Landowner’s Perspective,</w:t>
      </w:r>
      <w:r>
        <w:rPr>
          <w:color w:val="000000" w:themeColor="text1"/>
        </w:rPr>
        <w:t xml:space="preserve"> The University of Texas School of Law 2017 Renewable Energy Law Course, Jan. 31 2017, 2017.</w:t>
      </w:r>
    </w:p>
    <w:p w14:paraId="26C5316A" w14:textId="77777777" w:rsidR="00B8244C" w:rsidRPr="00B8244C" w:rsidRDefault="00B8244C" w:rsidP="00B8244C">
      <w:pPr>
        <w:pStyle w:val="ListParagraph"/>
        <w:rPr>
          <w:color w:val="000000" w:themeColor="text1"/>
        </w:rPr>
      </w:pPr>
    </w:p>
    <w:p w14:paraId="67403F31" w14:textId="57AE5F94" w:rsidR="00B8244C" w:rsidRPr="00B8244C" w:rsidRDefault="00B8244C" w:rsidP="00C2056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B8244C">
        <w:rPr>
          <w:i/>
          <w:iCs/>
          <w:color w:val="000000" w:themeColor="text1"/>
        </w:rPr>
        <w:t>Everything Under the Sun: A Guide to Siting Solar in the Lone Star State</w:t>
      </w:r>
      <w:r w:rsidRPr="00B8244C">
        <w:rPr>
          <w:color w:val="000000" w:themeColor="text1"/>
        </w:rPr>
        <w:t xml:space="preserve">, </w:t>
      </w:r>
      <w:r w:rsidRPr="00B8244C">
        <w:t xml:space="preserve">Texas Journal of Oil, Gas, and Energy Law, Vol. 12 pg. 42 (2017). </w:t>
      </w:r>
    </w:p>
    <w:p w14:paraId="13633548" w14:textId="77777777" w:rsidR="004D5E8A" w:rsidRPr="00E84A95" w:rsidRDefault="004D5E8A" w:rsidP="004D5E8A">
      <w:pPr>
        <w:jc w:val="both"/>
        <w:rPr>
          <w:color w:val="000000" w:themeColor="text1"/>
        </w:rPr>
      </w:pPr>
    </w:p>
    <w:p w14:paraId="3F911826" w14:textId="3F397E0D" w:rsidR="0017371C" w:rsidRDefault="00B8244C" w:rsidP="00B8244C">
      <w:pPr>
        <w:jc w:val="both"/>
        <w:rPr>
          <w:b/>
          <w:bCs/>
        </w:rPr>
      </w:pPr>
      <w:r>
        <w:rPr>
          <w:b/>
          <w:bCs/>
        </w:rPr>
        <w:t xml:space="preserve">PRESENTATIONS &amp; COURSES </w:t>
      </w:r>
    </w:p>
    <w:p w14:paraId="675E5538" w14:textId="77777777" w:rsidR="00814BBE" w:rsidRDefault="00814BBE" w:rsidP="00B8244C">
      <w:pPr>
        <w:jc w:val="both"/>
        <w:rPr>
          <w:b/>
          <w:bCs/>
        </w:rPr>
      </w:pPr>
    </w:p>
    <w:p w14:paraId="7A2BAF11" w14:textId="583FC053" w:rsidR="00791709" w:rsidRDefault="00791709" w:rsidP="00B36C81">
      <w:pPr>
        <w:pStyle w:val="ListParagraph"/>
        <w:numPr>
          <w:ilvl w:val="0"/>
          <w:numId w:val="4"/>
        </w:numPr>
        <w:jc w:val="both"/>
      </w:pPr>
      <w:r>
        <w:rPr>
          <w:i/>
          <w:iCs/>
        </w:rPr>
        <w:t>Going for the Green: Making Money in Renewable Energy</w:t>
      </w:r>
      <w:r>
        <w:t>,</w:t>
      </w:r>
      <w:r w:rsidRPr="00B36C81">
        <w:t xml:space="preserve"> Texas Tech Law Review and </w:t>
      </w:r>
      <w:r>
        <w:t>J</w:t>
      </w:r>
      <w:r w:rsidRPr="00B36C81">
        <w:t xml:space="preserve">ournal of Energy Law Practitioner Seminar, Lubbock, </w:t>
      </w:r>
      <w:r>
        <w:t>October 20, 2023.</w:t>
      </w:r>
    </w:p>
    <w:p w14:paraId="5327F75A" w14:textId="77777777" w:rsidR="00791709" w:rsidRPr="00791709" w:rsidRDefault="00791709" w:rsidP="00791709">
      <w:pPr>
        <w:pStyle w:val="ListParagraph"/>
        <w:jc w:val="both"/>
      </w:pPr>
    </w:p>
    <w:p w14:paraId="73ADB4C0" w14:textId="4F5B3C78" w:rsidR="00B36C81" w:rsidRDefault="00B36C81" w:rsidP="00B36C81">
      <w:pPr>
        <w:pStyle w:val="ListParagraph"/>
        <w:numPr>
          <w:ilvl w:val="0"/>
          <w:numId w:val="4"/>
        </w:numPr>
        <w:jc w:val="both"/>
      </w:pPr>
      <w:r w:rsidRPr="00B36C81">
        <w:rPr>
          <w:i/>
          <w:iCs/>
        </w:rPr>
        <w:lastRenderedPageBreak/>
        <w:t>Ethical Considerations in Developing Area o</w:t>
      </w:r>
      <w:r>
        <w:rPr>
          <w:i/>
          <w:iCs/>
        </w:rPr>
        <w:t>f</w:t>
      </w:r>
      <w:r w:rsidRPr="00B36C81">
        <w:rPr>
          <w:i/>
          <w:iCs/>
        </w:rPr>
        <w:t xml:space="preserve"> Renewable Energy,</w:t>
      </w:r>
      <w:r>
        <w:t xml:space="preserve"> 29</w:t>
      </w:r>
      <w:r w:rsidRPr="00B36C81">
        <w:rPr>
          <w:vertAlign w:val="superscript"/>
        </w:rPr>
        <w:t>th</w:t>
      </w:r>
      <w:r>
        <w:t xml:space="preserve"> Annual Ethics Symposium, South Texas College of Law, Houston, March 3, 2023.</w:t>
      </w:r>
    </w:p>
    <w:p w14:paraId="45720BCF" w14:textId="77777777" w:rsidR="00B36C81" w:rsidRPr="00B36C81" w:rsidRDefault="00B36C81" w:rsidP="00B36C81">
      <w:pPr>
        <w:pStyle w:val="ListParagraph"/>
        <w:jc w:val="both"/>
      </w:pPr>
    </w:p>
    <w:p w14:paraId="426512A3" w14:textId="32B20D1C" w:rsidR="00814BBE" w:rsidRPr="00814BBE" w:rsidRDefault="00814BBE" w:rsidP="00B36C81">
      <w:pPr>
        <w:pStyle w:val="ListParagraph"/>
        <w:numPr>
          <w:ilvl w:val="0"/>
          <w:numId w:val="4"/>
        </w:numPr>
        <w:jc w:val="both"/>
      </w:pPr>
      <w:r w:rsidRPr="00814BBE">
        <w:rPr>
          <w:i/>
          <w:iCs/>
        </w:rPr>
        <w:t>Hot Topics: Wind, Solar &amp; Cryptocurrency</w:t>
      </w:r>
      <w:r>
        <w:t>, 9</w:t>
      </w:r>
      <w:r w:rsidRPr="00814BBE">
        <w:rPr>
          <w:vertAlign w:val="superscript"/>
        </w:rPr>
        <w:t>th</w:t>
      </w:r>
      <w:r>
        <w:t xml:space="preserve"> Annual Oil &amp; Gas Disputes Course, January 19-20, 2023.</w:t>
      </w:r>
    </w:p>
    <w:p w14:paraId="58381C94" w14:textId="77777777" w:rsidR="00814BBE" w:rsidRPr="00814BBE" w:rsidRDefault="00814BBE" w:rsidP="00B36C81">
      <w:pPr>
        <w:pStyle w:val="ListParagraph"/>
        <w:jc w:val="both"/>
      </w:pPr>
    </w:p>
    <w:p w14:paraId="3791CEF0" w14:textId="227604F4" w:rsidR="00F67EB2" w:rsidRPr="00F67EB2" w:rsidRDefault="00F67EB2" w:rsidP="00B36C81">
      <w:pPr>
        <w:pStyle w:val="ListParagraph"/>
        <w:numPr>
          <w:ilvl w:val="0"/>
          <w:numId w:val="4"/>
        </w:numPr>
        <w:spacing w:before="100" w:after="100"/>
        <w:jc w:val="both"/>
      </w:pPr>
      <w:r w:rsidRPr="00F67EB2">
        <w:rPr>
          <w:i/>
          <w:iCs/>
        </w:rPr>
        <w:t>Instructor for Renewable Energy Certificate Program</w:t>
      </w:r>
      <w:r>
        <w:t>, American Association of Professional Landman (Pre-recorded August 2022).</w:t>
      </w:r>
    </w:p>
    <w:p w14:paraId="6FBCAAFF" w14:textId="77777777" w:rsidR="00F67EB2" w:rsidRPr="00F67EB2" w:rsidRDefault="00F67EB2" w:rsidP="00F67EB2">
      <w:pPr>
        <w:pStyle w:val="ListParagraph"/>
        <w:rPr>
          <w:i/>
          <w:iCs/>
        </w:rPr>
      </w:pPr>
    </w:p>
    <w:p w14:paraId="604F7712" w14:textId="59589D27" w:rsidR="00B36C81" w:rsidRPr="00B36C81" w:rsidRDefault="00B36C81" w:rsidP="00B36C81">
      <w:pPr>
        <w:pStyle w:val="ListParagraph"/>
        <w:numPr>
          <w:ilvl w:val="0"/>
          <w:numId w:val="4"/>
        </w:numPr>
        <w:spacing w:before="100" w:after="100"/>
        <w:jc w:val="both"/>
      </w:pPr>
      <w:r w:rsidRPr="00B36C81">
        <w:rPr>
          <w:i/>
          <w:iCs/>
        </w:rPr>
        <w:t xml:space="preserve">Understanding </w:t>
      </w:r>
      <w:r>
        <w:rPr>
          <w:i/>
          <w:iCs/>
        </w:rPr>
        <w:t>R</w:t>
      </w:r>
      <w:r w:rsidRPr="00B36C81">
        <w:rPr>
          <w:i/>
          <w:iCs/>
        </w:rPr>
        <w:t>ights to Energy Resources &amp; Land Development for Utility-Scale Wind Energy Systems</w:t>
      </w:r>
      <w:r>
        <w:t>, Texas Energy Production Land Law Course, Half Moon Education, September 8, 2022.</w:t>
      </w:r>
    </w:p>
    <w:p w14:paraId="6397DBD5" w14:textId="77777777" w:rsidR="00B36C81" w:rsidRPr="00B36C81" w:rsidRDefault="00B36C81" w:rsidP="00B36C81">
      <w:pPr>
        <w:pStyle w:val="ListParagraph"/>
        <w:jc w:val="both"/>
        <w:rPr>
          <w:i/>
          <w:iCs/>
        </w:rPr>
      </w:pPr>
    </w:p>
    <w:p w14:paraId="65C74066" w14:textId="14ECED12" w:rsidR="00814BBE" w:rsidRDefault="00814BBE" w:rsidP="00B36C81">
      <w:pPr>
        <w:pStyle w:val="ListParagraph"/>
        <w:numPr>
          <w:ilvl w:val="0"/>
          <w:numId w:val="4"/>
        </w:numPr>
        <w:spacing w:before="100" w:after="100"/>
        <w:jc w:val="both"/>
      </w:pPr>
      <w:r w:rsidRPr="00B36C81">
        <w:rPr>
          <w:i/>
          <w:iCs/>
        </w:rPr>
        <w:t xml:space="preserve">Intersection of Bitcoin, Flaring, </w:t>
      </w:r>
      <w:proofErr w:type="spellStart"/>
      <w:r w:rsidRPr="00B36C81">
        <w:rPr>
          <w:i/>
          <w:iCs/>
        </w:rPr>
        <w:t>ESG</w:t>
      </w:r>
      <w:proofErr w:type="spellEnd"/>
      <w:r w:rsidRPr="00B36C81">
        <w:rPr>
          <w:i/>
          <w:iCs/>
        </w:rPr>
        <w:t xml:space="preserve"> Credits, and Property Rights</w:t>
      </w:r>
      <w:r w:rsidRPr="00B36C81">
        <w:t xml:space="preserve">, </w:t>
      </w:r>
      <w:r w:rsidR="00B36C81" w:rsidRPr="00B36C81">
        <w:t xml:space="preserve">State Bar of Texas, </w:t>
      </w:r>
      <w:r w:rsidRPr="00B36C81">
        <w:t>40</w:t>
      </w:r>
      <w:r w:rsidRPr="00B36C81">
        <w:rPr>
          <w:vertAlign w:val="superscript"/>
        </w:rPr>
        <w:t>th</w:t>
      </w:r>
      <w:r w:rsidRPr="00B36C81">
        <w:t xml:space="preserve"> Annual Oil, Gas and Energy </w:t>
      </w:r>
      <w:r w:rsidR="00B36C81" w:rsidRPr="00B36C81">
        <w:t>Resources Law Course, October 12-13, 2022.</w:t>
      </w:r>
    </w:p>
    <w:p w14:paraId="74A0068A" w14:textId="77777777" w:rsidR="00B36C81" w:rsidRDefault="00B36C81" w:rsidP="00B36C81">
      <w:pPr>
        <w:pStyle w:val="ListParagraph"/>
      </w:pPr>
    </w:p>
    <w:p w14:paraId="6821D2C7" w14:textId="73D3282D" w:rsidR="00B36C81" w:rsidRPr="00B36C81" w:rsidRDefault="00B36C81" w:rsidP="00B36C81">
      <w:pPr>
        <w:pStyle w:val="ListParagraph"/>
        <w:numPr>
          <w:ilvl w:val="0"/>
          <w:numId w:val="4"/>
        </w:numPr>
        <w:spacing w:before="100" w:after="100"/>
        <w:jc w:val="both"/>
      </w:pPr>
      <w:r w:rsidRPr="00B36C81">
        <w:rPr>
          <w:i/>
          <w:iCs/>
        </w:rPr>
        <w:t>Accommodation Between Competing Surface Uses by Oil and Gas Companies and Wind &amp; Solar Companies</w:t>
      </w:r>
      <w:r>
        <w:t>,</w:t>
      </w:r>
      <w:r w:rsidRPr="00B36C81">
        <w:t xml:space="preserve"> Texas Tech Law Review and </w:t>
      </w:r>
      <w:r w:rsidR="00791709">
        <w:t>J</w:t>
      </w:r>
      <w:r w:rsidRPr="00B36C81">
        <w:t>ournal of Energy Law Practitioner Seminar, Lubbock, November 4, 2022.</w:t>
      </w:r>
    </w:p>
    <w:p w14:paraId="27FE6691" w14:textId="77777777" w:rsidR="00814BBE" w:rsidRPr="00814BBE" w:rsidRDefault="00814BBE" w:rsidP="00B36C81">
      <w:pPr>
        <w:pStyle w:val="ListParagraph"/>
        <w:jc w:val="both"/>
        <w:rPr>
          <w:i/>
          <w:iCs/>
          <w:color w:val="000000" w:themeColor="text1"/>
        </w:rPr>
      </w:pPr>
    </w:p>
    <w:p w14:paraId="2D8678C4" w14:textId="237F4D5A" w:rsidR="00814BBE" w:rsidRPr="00814BBE" w:rsidRDefault="00814BBE" w:rsidP="00B36C81">
      <w:pPr>
        <w:pStyle w:val="ListParagraph"/>
        <w:numPr>
          <w:ilvl w:val="0"/>
          <w:numId w:val="4"/>
        </w:numPr>
        <w:jc w:val="both"/>
      </w:pPr>
      <w:r>
        <w:rPr>
          <w:i/>
          <w:iCs/>
          <w:color w:val="000000" w:themeColor="text1"/>
        </w:rPr>
        <w:t>A Primer on Condemnation Procedure in Texas</w:t>
      </w:r>
      <w:r w:rsidRPr="00C2056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State Bar of Texas, </w:t>
      </w:r>
      <w:r w:rsidRPr="00C20565">
        <w:rPr>
          <w:color w:val="000000" w:themeColor="text1"/>
        </w:rPr>
        <w:t>23</w:t>
      </w:r>
      <w:r w:rsidRPr="00C20565">
        <w:rPr>
          <w:color w:val="000000" w:themeColor="text1"/>
          <w:vertAlign w:val="superscript"/>
        </w:rPr>
        <w:t>rd</w:t>
      </w:r>
      <w:r w:rsidRPr="00C20565">
        <w:rPr>
          <w:color w:val="000000" w:themeColor="text1"/>
        </w:rPr>
        <w:t xml:space="preserve"> Annual Summer School Course: Sun, Sand, and CLE for the General Practitioner, July 15, 2021</w:t>
      </w:r>
      <w:r>
        <w:rPr>
          <w:color w:val="000000" w:themeColor="text1"/>
        </w:rPr>
        <w:t>.</w:t>
      </w:r>
    </w:p>
    <w:p w14:paraId="67C78525" w14:textId="77777777" w:rsidR="00814BBE" w:rsidRPr="00814BBE" w:rsidRDefault="00814BBE" w:rsidP="00B36C81">
      <w:pPr>
        <w:pStyle w:val="ListParagraph"/>
        <w:jc w:val="both"/>
      </w:pPr>
    </w:p>
    <w:p w14:paraId="19712D2D" w14:textId="574FFD37" w:rsidR="00B36C81" w:rsidRPr="00B36C81" w:rsidRDefault="00B36C81" w:rsidP="00B36C81">
      <w:pPr>
        <w:pStyle w:val="ListParagraph"/>
        <w:numPr>
          <w:ilvl w:val="0"/>
          <w:numId w:val="4"/>
        </w:numPr>
        <w:jc w:val="both"/>
      </w:pPr>
      <w:r w:rsidRPr="00B36C81">
        <w:rPr>
          <w:i/>
          <w:iCs/>
        </w:rPr>
        <w:t>Land Development for Utility-Scale Wind Energy Systems</w:t>
      </w:r>
      <w:r w:rsidRPr="00B36C81">
        <w:t>, Texas Renewable Energy Land Laws, Hal Moon education, September 28, 2020.</w:t>
      </w:r>
    </w:p>
    <w:p w14:paraId="25DECC53" w14:textId="77777777" w:rsidR="00B36C81" w:rsidRPr="00B36C81" w:rsidRDefault="00B36C81" w:rsidP="00B36C81">
      <w:pPr>
        <w:pStyle w:val="ListParagraph"/>
        <w:rPr>
          <w:i/>
          <w:iCs/>
        </w:rPr>
      </w:pPr>
    </w:p>
    <w:p w14:paraId="5B964AB2" w14:textId="73A198D6" w:rsidR="00814BBE" w:rsidRPr="00814BBE" w:rsidRDefault="00814BBE" w:rsidP="00B36C81">
      <w:pPr>
        <w:pStyle w:val="ListParagraph"/>
        <w:numPr>
          <w:ilvl w:val="0"/>
          <w:numId w:val="4"/>
        </w:numPr>
        <w:jc w:val="both"/>
      </w:pPr>
      <w:r w:rsidRPr="00C20565">
        <w:rPr>
          <w:i/>
          <w:iCs/>
        </w:rPr>
        <w:t>Negotiating &amp; Drafting a Pipeline Easement</w:t>
      </w:r>
      <w:r>
        <w:t>, 30th Annual Advanced Real Estate Drafting, March 14-15, 2019</w:t>
      </w:r>
    </w:p>
    <w:p w14:paraId="32B33644" w14:textId="77777777" w:rsidR="00814BBE" w:rsidRPr="00814BBE" w:rsidRDefault="00814BBE" w:rsidP="00B36C81">
      <w:pPr>
        <w:pStyle w:val="ListParagraph"/>
        <w:jc w:val="both"/>
      </w:pPr>
    </w:p>
    <w:p w14:paraId="590DCC0F" w14:textId="6C4BCAE2" w:rsidR="00814BBE" w:rsidRPr="00814BBE" w:rsidRDefault="00814BBE" w:rsidP="00B36C81">
      <w:pPr>
        <w:pStyle w:val="ListParagraph"/>
        <w:numPr>
          <w:ilvl w:val="0"/>
          <w:numId w:val="4"/>
        </w:numPr>
        <w:jc w:val="both"/>
      </w:pPr>
      <w:r w:rsidRPr="00814BBE">
        <w:rPr>
          <w:i/>
          <w:iCs/>
        </w:rPr>
        <w:t>Avoiding Conflicts Among Competing Energy Development; Drafting Litigation Proof Leases; Valuation of Energy Rights</w:t>
      </w:r>
      <w:r>
        <w:t>, Forensic Expert witness Association, February 8, 2018, Dallas, Texas.</w:t>
      </w:r>
    </w:p>
    <w:p w14:paraId="74F2696A" w14:textId="77777777" w:rsidR="00814BBE" w:rsidRPr="00814BBE" w:rsidRDefault="00814BBE" w:rsidP="00814BBE">
      <w:pPr>
        <w:pStyle w:val="ListParagraph"/>
        <w:jc w:val="both"/>
      </w:pPr>
    </w:p>
    <w:p w14:paraId="6A7011A6" w14:textId="5E11E0A9" w:rsidR="0017371C" w:rsidRPr="00F67EB2" w:rsidRDefault="005F2401" w:rsidP="00F67EB2">
      <w:pPr>
        <w:pStyle w:val="ListParagraph"/>
        <w:numPr>
          <w:ilvl w:val="0"/>
          <w:numId w:val="4"/>
        </w:numPr>
        <w:jc w:val="both"/>
      </w:pPr>
      <w:r>
        <w:rPr>
          <w:i/>
          <w:iCs/>
        </w:rPr>
        <w:t>The Accommodation Doctrine</w:t>
      </w:r>
      <w:r w:rsidR="00814BBE" w:rsidRPr="00814BBE">
        <w:t>, Wind &amp; Solar Expo, San Angelo, Texas, August 30-31. 2016.</w:t>
      </w:r>
    </w:p>
    <w:p w14:paraId="6861FC59" w14:textId="77777777" w:rsidR="0017371C" w:rsidRDefault="0017371C" w:rsidP="0017371C">
      <w:pPr>
        <w:rPr>
          <w:b/>
          <w:bCs/>
        </w:rPr>
      </w:pPr>
    </w:p>
    <w:p w14:paraId="121AC384" w14:textId="77777777" w:rsidR="0017371C" w:rsidRDefault="0017371C" w:rsidP="0017371C">
      <w:pPr>
        <w:rPr>
          <w:b/>
          <w:bCs/>
        </w:rPr>
      </w:pPr>
      <w:r>
        <w:rPr>
          <w:b/>
          <w:bCs/>
        </w:rPr>
        <w:t>EDUCATION</w:t>
      </w:r>
    </w:p>
    <w:p w14:paraId="50B1E58F" w14:textId="77777777" w:rsidR="00F67EB2" w:rsidRDefault="00F67EB2" w:rsidP="0017371C">
      <w:pPr>
        <w:rPr>
          <w:sz w:val="20"/>
          <w:szCs w:val="20"/>
        </w:rPr>
      </w:pPr>
    </w:p>
    <w:p w14:paraId="3D67B6FF" w14:textId="213422E0" w:rsidR="00F67EB2" w:rsidRPr="00F67EB2" w:rsidRDefault="0017371C" w:rsidP="0017371C">
      <w:pPr>
        <w:pStyle w:val="ListParagraph"/>
        <w:numPr>
          <w:ilvl w:val="0"/>
          <w:numId w:val="5"/>
        </w:numPr>
      </w:pPr>
      <w:r w:rsidRPr="00F67EB2">
        <w:t xml:space="preserve">B.A., The University of </w:t>
      </w:r>
      <w:r w:rsidR="00BB5FEB" w:rsidRPr="00F67EB2">
        <w:t xml:space="preserve">Missouri </w:t>
      </w:r>
      <w:r w:rsidR="00F67EB2" w:rsidRPr="00F67EB2">
        <w:t>–</w:t>
      </w:r>
      <w:r w:rsidR="00BB5FEB" w:rsidRPr="00F67EB2">
        <w:t xml:space="preserve"> Columbia</w:t>
      </w:r>
    </w:p>
    <w:p w14:paraId="49F9B661" w14:textId="77777777" w:rsidR="00F67EB2" w:rsidRPr="00F67EB2" w:rsidRDefault="00F67EB2" w:rsidP="00F67EB2">
      <w:pPr>
        <w:pStyle w:val="ListParagraph"/>
      </w:pPr>
    </w:p>
    <w:p w14:paraId="418750B5" w14:textId="682AB8A0" w:rsidR="0017371C" w:rsidRPr="00F67EB2" w:rsidRDefault="0017371C" w:rsidP="0017371C">
      <w:pPr>
        <w:pStyle w:val="ListParagraph"/>
        <w:numPr>
          <w:ilvl w:val="0"/>
          <w:numId w:val="5"/>
        </w:numPr>
      </w:pPr>
      <w:r w:rsidRPr="00F67EB2">
        <w:t xml:space="preserve">J.D., </w:t>
      </w:r>
      <w:r w:rsidR="00BB5FEB" w:rsidRPr="00F67EB2">
        <w:t>2016</w:t>
      </w:r>
      <w:r w:rsidRPr="00F67EB2">
        <w:t>, The University of Texas School of Law</w:t>
      </w:r>
    </w:p>
    <w:p w14:paraId="7F2FFC54" w14:textId="77777777" w:rsidR="0017371C" w:rsidRDefault="0017371C" w:rsidP="0017371C">
      <w:pPr>
        <w:rPr>
          <w:b/>
          <w:bCs/>
        </w:rPr>
      </w:pPr>
    </w:p>
    <w:bookmarkEnd w:id="0"/>
    <w:p w14:paraId="3010C57C" w14:textId="77777777" w:rsidR="00DD7D32" w:rsidRDefault="00DD7D32"/>
    <w:sectPr w:rsidR="00DD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35F5"/>
    <w:multiLevelType w:val="multilevel"/>
    <w:tmpl w:val="4EB8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B7689"/>
    <w:multiLevelType w:val="hybridMultilevel"/>
    <w:tmpl w:val="48C05816"/>
    <w:lvl w:ilvl="0" w:tplc="7564FA36">
      <w:start w:val="3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2C2F"/>
    <w:multiLevelType w:val="hybridMultilevel"/>
    <w:tmpl w:val="89B206B6"/>
    <w:lvl w:ilvl="0" w:tplc="7564FA36">
      <w:start w:val="3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75F6"/>
    <w:multiLevelType w:val="hybridMultilevel"/>
    <w:tmpl w:val="673AAA64"/>
    <w:lvl w:ilvl="0" w:tplc="7564FA36">
      <w:start w:val="3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94913"/>
    <w:multiLevelType w:val="hybridMultilevel"/>
    <w:tmpl w:val="97F41602"/>
    <w:lvl w:ilvl="0" w:tplc="7564FA36">
      <w:start w:val="325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44486">
    <w:abstractNumId w:val="4"/>
  </w:num>
  <w:num w:numId="2" w16cid:durableId="1680813645">
    <w:abstractNumId w:val="3"/>
  </w:num>
  <w:num w:numId="3" w16cid:durableId="2073114607">
    <w:abstractNumId w:val="0"/>
  </w:num>
  <w:num w:numId="4" w16cid:durableId="402679095">
    <w:abstractNumId w:val="1"/>
  </w:num>
  <w:num w:numId="5" w16cid:durableId="686638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1C"/>
    <w:rsid w:val="0017371C"/>
    <w:rsid w:val="004D5E8A"/>
    <w:rsid w:val="005F2401"/>
    <w:rsid w:val="00791709"/>
    <w:rsid w:val="00814BBE"/>
    <w:rsid w:val="00B36C81"/>
    <w:rsid w:val="00B8244C"/>
    <w:rsid w:val="00BB5FEB"/>
    <w:rsid w:val="00C20565"/>
    <w:rsid w:val="00DD7D32"/>
    <w:rsid w:val="00F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9C50"/>
  <w15:chartTrackingRefBased/>
  <w15:docId w15:val="{D86503F9-37FE-4B5F-A44A-6824E506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17371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4D5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E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565"/>
    <w:pPr>
      <w:ind w:left="720"/>
      <w:contextualSpacing/>
    </w:pPr>
    <w:rPr>
      <w:rFonts w:eastAsiaTheme="minorHAnsi"/>
    </w:rPr>
  </w:style>
  <w:style w:type="paragraph" w:customStyle="1" w:styleId="bio-listitem">
    <w:name w:val="bio-list__item"/>
    <w:basedOn w:val="Normal"/>
    <w:rsid w:val="00C2056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2056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76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8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35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4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9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l.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Wetsel</dc:creator>
  <cp:keywords/>
  <dc:description/>
  <cp:lastModifiedBy>Jake Lederle</cp:lastModifiedBy>
  <cp:revision>4</cp:revision>
  <dcterms:created xsi:type="dcterms:W3CDTF">2023-07-25T17:18:00Z</dcterms:created>
  <dcterms:modified xsi:type="dcterms:W3CDTF">2023-10-20T20:32:00Z</dcterms:modified>
</cp:coreProperties>
</file>